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0DFCE62"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BA0097">
        <w:rPr>
          <w:bCs/>
          <w:noProof w:val="0"/>
          <w:sz w:val="24"/>
          <w:szCs w:val="24"/>
        </w:rPr>
        <w:t>9</w:t>
      </w:r>
      <w:r w:rsidRPr="00B266B0">
        <w:rPr>
          <w:bCs/>
          <w:noProof w:val="0"/>
          <w:sz w:val="24"/>
          <w:szCs w:val="24"/>
        </w:rPr>
        <w:tab/>
      </w:r>
      <w:r w:rsidR="00B50369">
        <w:rPr>
          <w:bCs/>
          <w:noProof w:val="0"/>
          <w:sz w:val="24"/>
          <w:szCs w:val="24"/>
        </w:rPr>
        <w:t>R2-2</w:t>
      </w:r>
      <w:r w:rsidR="00C96C7B">
        <w:rPr>
          <w:bCs/>
          <w:noProof w:val="0"/>
          <w:sz w:val="24"/>
          <w:szCs w:val="24"/>
        </w:rPr>
        <w:t>501276</w:t>
      </w:r>
    </w:p>
    <w:p w14:paraId="11776FA6" w14:textId="5A6BF0CD" w:rsidR="00A209D6" w:rsidRPr="00465587" w:rsidRDefault="00BA0097" w:rsidP="00A209D6">
      <w:pPr>
        <w:pStyle w:val="Header"/>
        <w:tabs>
          <w:tab w:val="right" w:pos="9639"/>
        </w:tabs>
        <w:rPr>
          <w:bCs/>
          <w:sz w:val="24"/>
          <w:szCs w:val="24"/>
          <w:lang w:eastAsia="zh-CN"/>
        </w:rPr>
      </w:pPr>
      <w:r>
        <w:rPr>
          <w:bCs/>
          <w:sz w:val="24"/>
          <w:szCs w:val="24"/>
          <w:lang w:eastAsia="zh-CN"/>
        </w:rPr>
        <w:t>Athens, Greece</w:t>
      </w:r>
      <w:r w:rsidR="003C2C5D">
        <w:rPr>
          <w:bCs/>
          <w:sz w:val="24"/>
          <w:szCs w:val="24"/>
          <w:lang w:eastAsia="zh-CN"/>
        </w:rPr>
        <w:t xml:space="preserve">, </w:t>
      </w:r>
      <w:r w:rsidR="00572874">
        <w:rPr>
          <w:bCs/>
          <w:sz w:val="24"/>
          <w:szCs w:val="24"/>
          <w:lang w:eastAsia="zh-CN"/>
        </w:rPr>
        <w:t>1</w:t>
      </w:r>
      <w:r>
        <w:rPr>
          <w:bCs/>
          <w:sz w:val="24"/>
          <w:szCs w:val="24"/>
          <w:lang w:eastAsia="zh-CN"/>
        </w:rPr>
        <w:t>7</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572874">
        <w:rPr>
          <w:bCs/>
          <w:sz w:val="24"/>
          <w:szCs w:val="24"/>
          <w:lang w:eastAsia="zh-CN"/>
        </w:rPr>
        <w:t>2</w:t>
      </w:r>
      <w:r>
        <w:rPr>
          <w:bCs/>
          <w:sz w:val="24"/>
          <w:szCs w:val="24"/>
          <w:lang w:eastAsia="zh-CN"/>
        </w:rPr>
        <w:t>1</w:t>
      </w:r>
      <w:r w:rsidRPr="00BA0097">
        <w:rPr>
          <w:bCs/>
          <w:sz w:val="24"/>
          <w:szCs w:val="24"/>
          <w:vertAlign w:val="superscript"/>
          <w:lang w:eastAsia="zh-CN"/>
        </w:rPr>
        <w:t>st</w:t>
      </w:r>
      <w:r w:rsidR="0037453E">
        <w:rPr>
          <w:bCs/>
          <w:sz w:val="24"/>
          <w:szCs w:val="24"/>
          <w:lang w:eastAsia="zh-CN"/>
        </w:rPr>
        <w:t xml:space="preserve"> </w:t>
      </w:r>
      <w:r>
        <w:rPr>
          <w:bCs/>
          <w:sz w:val="24"/>
          <w:szCs w:val="24"/>
          <w:lang w:eastAsia="zh-CN"/>
        </w:rPr>
        <w:t>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96964D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0097">
        <w:rPr>
          <w:rFonts w:cs="Arial"/>
          <w:b/>
          <w:bCs/>
          <w:sz w:val="24"/>
        </w:rPr>
        <w:t>8.18</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A6CA4C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BA0097">
        <w:rPr>
          <w:rFonts w:eastAsia="SimSun"/>
          <w:b/>
          <w:bCs/>
          <w:sz w:val="24"/>
          <w:szCs w:val="20"/>
          <w:lang w:val="en-GB" w:eastAsia="en-US"/>
        </w:rPr>
        <w:t>Redirec</w:t>
      </w:r>
      <w:r w:rsidR="00734272">
        <w:rPr>
          <w:rFonts w:eastAsia="SimSun"/>
          <w:b/>
          <w:bCs/>
          <w:sz w:val="24"/>
          <w:szCs w:val="20"/>
          <w:lang w:val="en-GB" w:eastAsia="en-US"/>
        </w:rPr>
        <w:t>tion to an NTN frequency</w:t>
      </w:r>
    </w:p>
    <w:p w14:paraId="1F147C23" w14:textId="217DEB1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BA0097">
        <w:rPr>
          <w:rFonts w:eastAsia="SimSun"/>
          <w:b/>
          <w:bCs/>
          <w:sz w:val="24"/>
          <w:szCs w:val="20"/>
          <w:lang w:val="en-GB" w:eastAsia="en-US"/>
        </w:rPr>
        <w:t>TEI19</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6CEE32F" w14:textId="4D933F6B" w:rsidR="00F00A10" w:rsidRPr="00F97E01" w:rsidRDefault="00C702D5" w:rsidP="00F00A10">
      <w:pPr>
        <w:rPr>
          <w:lang w:eastAsia="ko-KR"/>
        </w:rPr>
      </w:pPr>
      <w:r>
        <w:t>In this</w:t>
      </w:r>
      <w:r w:rsidR="00D83741">
        <w:t xml:space="preserve"> TEI19</w:t>
      </w:r>
      <w:r>
        <w:t xml:space="preserve"> contribution, </w:t>
      </w:r>
      <w:r w:rsidR="007C5B71">
        <w:t xml:space="preserve">we provide some </w:t>
      </w:r>
      <w:r w:rsidR="00A60EB0">
        <w:t xml:space="preserve">discussions </w:t>
      </w:r>
      <w:r w:rsidR="00BA0097">
        <w:t xml:space="preserve">redirecting UEs to NTN </w:t>
      </w:r>
      <w:r w:rsidR="00D83741">
        <w:t xml:space="preserve">frequencies. </w:t>
      </w:r>
    </w:p>
    <w:p w14:paraId="07888F30" w14:textId="182F2B87" w:rsidR="003E45E3" w:rsidRPr="00BB2496" w:rsidRDefault="00DC6A61" w:rsidP="003E45E3">
      <w:pPr>
        <w:pStyle w:val="Heading1"/>
      </w:pPr>
      <w:r>
        <w:t>Discussion</w:t>
      </w:r>
    </w:p>
    <w:p w14:paraId="5553981C" w14:textId="6F35F5CC" w:rsidR="005D08A8" w:rsidRPr="005D08A8" w:rsidRDefault="005D08A8" w:rsidP="005D08A8">
      <w:pPr>
        <w:pStyle w:val="Heading2"/>
      </w:pPr>
      <w:r>
        <w:t>Background</w:t>
      </w:r>
      <w:r w:rsidR="000A1226">
        <w:t xml:space="preserve"> on mobility in NTN</w:t>
      </w:r>
    </w:p>
    <w:p w14:paraId="7A9817D2" w14:textId="7B4F9669" w:rsidR="003E45E3" w:rsidRDefault="00BA0097" w:rsidP="00AF4DB9">
      <w:pPr>
        <w:pStyle w:val="PatentBody"/>
        <w:numPr>
          <w:ilvl w:val="0"/>
          <w:numId w:val="0"/>
        </w:numPr>
        <w:spacing w:after="180" w:line="240" w:lineRule="auto"/>
        <w:jc w:val="both"/>
        <w:rPr>
          <w:sz w:val="20"/>
        </w:rPr>
      </w:pPr>
      <w:r>
        <w:rPr>
          <w:sz w:val="20"/>
        </w:rPr>
        <w:t>NR NTN and IoT NTN were introduced in Release 17. As part of both Release 17 and Release 18 work on NR NTN and IoT NTN, mobility has been one of the key topics. The following list highlights all of the</w:t>
      </w:r>
      <w:r w:rsidR="003E0EBC">
        <w:rPr>
          <w:sz w:val="20"/>
        </w:rPr>
        <w:t xml:space="preserve"> mobility</w:t>
      </w:r>
      <w:r>
        <w:rPr>
          <w:sz w:val="20"/>
        </w:rPr>
        <w:t xml:space="preserve"> enhancements introduced: </w:t>
      </w:r>
    </w:p>
    <w:p w14:paraId="213C3FC6" w14:textId="070ACC74" w:rsidR="00BA0097" w:rsidRDefault="003E0EBC" w:rsidP="00D83741">
      <w:pPr>
        <w:pStyle w:val="PatentBody"/>
        <w:numPr>
          <w:ilvl w:val="0"/>
          <w:numId w:val="10"/>
        </w:numPr>
        <w:spacing w:after="60" w:line="240" w:lineRule="auto"/>
        <w:ind w:hanging="357"/>
        <w:jc w:val="both"/>
        <w:rPr>
          <w:sz w:val="20"/>
        </w:rPr>
      </w:pPr>
      <w:r>
        <w:rPr>
          <w:sz w:val="20"/>
        </w:rPr>
        <w:t>Idle Mode</w:t>
      </w:r>
    </w:p>
    <w:p w14:paraId="27CA5210" w14:textId="6B1A4FD9" w:rsidR="003E0EBC" w:rsidRDefault="003E0EBC" w:rsidP="00D83741">
      <w:pPr>
        <w:pStyle w:val="PatentBody"/>
        <w:numPr>
          <w:ilvl w:val="1"/>
          <w:numId w:val="10"/>
        </w:numPr>
        <w:spacing w:after="60" w:line="240" w:lineRule="auto"/>
        <w:ind w:hanging="357"/>
        <w:jc w:val="both"/>
        <w:rPr>
          <w:sz w:val="20"/>
        </w:rPr>
      </w:pPr>
      <w:r>
        <w:rPr>
          <w:sz w:val="20"/>
        </w:rPr>
        <w:t>T-Service</w:t>
      </w:r>
    </w:p>
    <w:p w14:paraId="6B7636E8" w14:textId="15151690" w:rsidR="003E0EBC" w:rsidRDefault="003E0EBC" w:rsidP="00D83741">
      <w:pPr>
        <w:pStyle w:val="PatentBody"/>
        <w:numPr>
          <w:ilvl w:val="1"/>
          <w:numId w:val="10"/>
        </w:numPr>
        <w:spacing w:after="60" w:line="240" w:lineRule="auto"/>
        <w:ind w:hanging="357"/>
        <w:jc w:val="both"/>
        <w:rPr>
          <w:sz w:val="20"/>
        </w:rPr>
      </w:pPr>
      <w:r>
        <w:rPr>
          <w:sz w:val="20"/>
        </w:rPr>
        <w:t>Distance-based measurement initiation</w:t>
      </w:r>
    </w:p>
    <w:p w14:paraId="650F505A" w14:textId="23811217" w:rsidR="003E0EBC" w:rsidRDefault="003E0EBC" w:rsidP="00D83741">
      <w:pPr>
        <w:pStyle w:val="PatentBody"/>
        <w:numPr>
          <w:ilvl w:val="1"/>
          <w:numId w:val="10"/>
        </w:numPr>
        <w:spacing w:after="60" w:line="240" w:lineRule="auto"/>
        <w:ind w:hanging="357"/>
        <w:jc w:val="both"/>
        <w:rPr>
          <w:sz w:val="20"/>
        </w:rPr>
      </w:pPr>
      <w:r>
        <w:rPr>
          <w:sz w:val="20"/>
        </w:rPr>
        <w:t>NTN to TN measurement relaxation</w:t>
      </w:r>
    </w:p>
    <w:p w14:paraId="299FB800" w14:textId="4CD3A13E" w:rsidR="001A4BA9" w:rsidRPr="003E0EBC" w:rsidRDefault="001A4BA9" w:rsidP="00D83741">
      <w:pPr>
        <w:pStyle w:val="PatentBody"/>
        <w:numPr>
          <w:ilvl w:val="1"/>
          <w:numId w:val="10"/>
        </w:numPr>
        <w:spacing w:after="60" w:line="240" w:lineRule="auto"/>
        <w:ind w:hanging="357"/>
        <w:jc w:val="both"/>
        <w:rPr>
          <w:sz w:val="20"/>
        </w:rPr>
      </w:pPr>
      <w:r>
        <w:rPr>
          <w:sz w:val="20"/>
        </w:rPr>
        <w:t>NTN assistance information in TN</w:t>
      </w:r>
    </w:p>
    <w:p w14:paraId="3E190AE9" w14:textId="7BB72DA3" w:rsidR="003E0EBC" w:rsidRDefault="003E0EBC" w:rsidP="00D83741">
      <w:pPr>
        <w:pStyle w:val="PatentBody"/>
        <w:numPr>
          <w:ilvl w:val="0"/>
          <w:numId w:val="10"/>
        </w:numPr>
        <w:spacing w:after="60" w:line="240" w:lineRule="auto"/>
        <w:ind w:hanging="357"/>
        <w:jc w:val="both"/>
        <w:rPr>
          <w:sz w:val="20"/>
        </w:rPr>
      </w:pPr>
      <w:r>
        <w:rPr>
          <w:sz w:val="20"/>
        </w:rPr>
        <w:t>Connected mode</w:t>
      </w:r>
    </w:p>
    <w:p w14:paraId="3D5EC2D2" w14:textId="0D9C41A6" w:rsidR="003E0EBC" w:rsidRDefault="003E0EBC" w:rsidP="00D83741">
      <w:pPr>
        <w:pStyle w:val="PatentBody"/>
        <w:numPr>
          <w:ilvl w:val="1"/>
          <w:numId w:val="10"/>
        </w:numPr>
        <w:spacing w:after="60" w:line="240" w:lineRule="auto"/>
        <w:ind w:hanging="357"/>
        <w:jc w:val="both"/>
        <w:rPr>
          <w:sz w:val="20"/>
        </w:rPr>
      </w:pPr>
      <w:r>
        <w:rPr>
          <w:sz w:val="20"/>
        </w:rPr>
        <w:t>Time based measurement event (conditional handover)</w:t>
      </w:r>
    </w:p>
    <w:p w14:paraId="6284EEF5" w14:textId="7B8D688A" w:rsidR="003E0EBC" w:rsidRDefault="003E0EBC" w:rsidP="00D83741">
      <w:pPr>
        <w:pStyle w:val="PatentBody"/>
        <w:numPr>
          <w:ilvl w:val="1"/>
          <w:numId w:val="10"/>
        </w:numPr>
        <w:spacing w:after="60" w:line="240" w:lineRule="auto"/>
        <w:ind w:hanging="357"/>
        <w:jc w:val="both"/>
        <w:rPr>
          <w:sz w:val="20"/>
        </w:rPr>
      </w:pPr>
      <w:r>
        <w:rPr>
          <w:sz w:val="20"/>
        </w:rPr>
        <w:t>Distance based measurement event (for normal RRM and conditional handover)</w:t>
      </w:r>
    </w:p>
    <w:p w14:paraId="7AF07FFF" w14:textId="737AF3C5" w:rsidR="003E0EBC" w:rsidRDefault="0092450D" w:rsidP="00D83741">
      <w:pPr>
        <w:pStyle w:val="PatentBody"/>
        <w:numPr>
          <w:ilvl w:val="1"/>
          <w:numId w:val="10"/>
        </w:numPr>
        <w:spacing w:after="60" w:line="240" w:lineRule="auto"/>
        <w:ind w:hanging="357"/>
        <w:jc w:val="both"/>
        <w:rPr>
          <w:sz w:val="20"/>
        </w:rPr>
      </w:pPr>
      <w:r>
        <w:rPr>
          <w:sz w:val="20"/>
        </w:rPr>
        <w:t>Satellite switch with resync</w:t>
      </w:r>
    </w:p>
    <w:p w14:paraId="622EB5F6" w14:textId="54DB43FA" w:rsidR="001A4BA9" w:rsidRDefault="001A4BA9" w:rsidP="00AF4DB9">
      <w:pPr>
        <w:pStyle w:val="PatentBody"/>
        <w:numPr>
          <w:ilvl w:val="0"/>
          <w:numId w:val="0"/>
        </w:numPr>
        <w:spacing w:after="180" w:line="240" w:lineRule="auto"/>
        <w:jc w:val="both"/>
        <w:rPr>
          <w:sz w:val="20"/>
        </w:rPr>
      </w:pPr>
    </w:p>
    <w:p w14:paraId="7ACBAC60" w14:textId="466220D1" w:rsidR="001A4BA9" w:rsidRDefault="001A4BA9" w:rsidP="00AF4DB9">
      <w:pPr>
        <w:pStyle w:val="PatentBody"/>
        <w:numPr>
          <w:ilvl w:val="0"/>
          <w:numId w:val="0"/>
        </w:numPr>
        <w:spacing w:after="180" w:line="240" w:lineRule="auto"/>
        <w:jc w:val="both"/>
        <w:rPr>
          <w:sz w:val="20"/>
        </w:rPr>
      </w:pPr>
      <w:r>
        <w:rPr>
          <w:sz w:val="20"/>
        </w:rPr>
        <w:t xml:space="preserve">As seen above, a lot of effort has been put in to mobility enhancements for NTN over multiple releases. However, TN to NTN mobility is still not fully supported. For both NR NTN and IoT NTN, mobility from a terrestrial network to a non-terrestrial network has some support. In release 18 it is supported to broadcast neighbour NTN cell ephemeris for idle mode mobility purposes. Since Release 17, handovers are supported from TN to NTN, but connected mode measurements are not considered supported as there are no RAN4 requirements. This leaves the network and an operator in an awkward position where mobility from TN to NTN is somewhat controlled by the UE, as the RAN4 requirements only apply if the GNSS is activated. This makes it possible for a UE to never measure NTN cells if the UE implementation does not want to turn GNSS.  </w:t>
      </w:r>
    </w:p>
    <w:p w14:paraId="6D925246" w14:textId="4033C3AE" w:rsidR="00D83741" w:rsidRPr="00813531" w:rsidRDefault="00D83741" w:rsidP="00D83741">
      <w:pPr>
        <w:spacing w:after="60"/>
        <w:rPr>
          <w:b/>
        </w:rPr>
      </w:pPr>
      <w:r>
        <w:rPr>
          <w:b/>
        </w:rPr>
        <w:t xml:space="preserve">Observation 1: </w:t>
      </w:r>
      <w:r w:rsidR="001A4BA9">
        <w:rPr>
          <w:b/>
        </w:rPr>
        <w:t>A lot of effort have been put in mobility enhancements for NTN, but TN to NTN mobility is still not fully supported</w:t>
      </w:r>
      <w:r>
        <w:rPr>
          <w:b/>
        </w:rPr>
        <w:t xml:space="preserve">.   </w:t>
      </w:r>
      <w:r w:rsidRPr="00025061">
        <w:rPr>
          <w:b/>
        </w:rPr>
        <w:t xml:space="preserve">   </w:t>
      </w:r>
    </w:p>
    <w:p w14:paraId="3DDF1F7A" w14:textId="77777777" w:rsidR="00D83741" w:rsidRDefault="00D83741" w:rsidP="00AF4DB9">
      <w:pPr>
        <w:pStyle w:val="PatentBody"/>
        <w:numPr>
          <w:ilvl w:val="0"/>
          <w:numId w:val="0"/>
        </w:numPr>
        <w:spacing w:after="180" w:line="240" w:lineRule="auto"/>
        <w:jc w:val="both"/>
        <w:rPr>
          <w:sz w:val="20"/>
        </w:rPr>
      </w:pPr>
    </w:p>
    <w:p w14:paraId="6DA2242D" w14:textId="7256F3D8" w:rsidR="005D08A8" w:rsidRPr="005D08A8" w:rsidRDefault="008C1478" w:rsidP="005D08A8">
      <w:pPr>
        <w:pStyle w:val="Heading2"/>
      </w:pPr>
      <w:r>
        <w:t>Release with re-direction to an</w:t>
      </w:r>
      <w:r w:rsidR="005D08A8">
        <w:t xml:space="preserve"> NTN</w:t>
      </w:r>
      <w:r>
        <w:t xml:space="preserve"> cell</w:t>
      </w:r>
    </w:p>
    <w:p w14:paraId="70BAF913" w14:textId="0EA11DB1" w:rsidR="001D5965" w:rsidRDefault="00D83741" w:rsidP="00AF4DB9">
      <w:pPr>
        <w:pStyle w:val="PatentBody"/>
        <w:numPr>
          <w:ilvl w:val="0"/>
          <w:numId w:val="0"/>
        </w:numPr>
        <w:spacing w:after="180" w:line="240" w:lineRule="auto"/>
        <w:jc w:val="both"/>
        <w:rPr>
          <w:sz w:val="20"/>
        </w:rPr>
      </w:pPr>
      <w:r>
        <w:rPr>
          <w:sz w:val="20"/>
        </w:rPr>
        <w:t xml:space="preserve">There is however one type of mobility that was not discussed in RAN2 in Release 17 or Release 18: Connection release with re-direction. Release with re-direction is an important feature for network controlled mobility for inter-RAT and inter-frequency mobility. </w:t>
      </w:r>
      <w:r w:rsidR="000F4303">
        <w:rPr>
          <w:sz w:val="20"/>
        </w:rPr>
        <w:t xml:space="preserve">Release with re-direction </w:t>
      </w:r>
      <w:r w:rsidR="008C1478">
        <w:rPr>
          <w:sz w:val="20"/>
        </w:rPr>
        <w:t xml:space="preserve">to an NTN cell </w:t>
      </w:r>
      <w:r w:rsidR="000F4303">
        <w:rPr>
          <w:sz w:val="20"/>
        </w:rPr>
        <w:t xml:space="preserve">may have the benefit over </w:t>
      </w:r>
      <w:r w:rsidR="008C1478">
        <w:rPr>
          <w:sz w:val="20"/>
        </w:rPr>
        <w:t xml:space="preserve">connected mode measurements in that GNSS does not need to be turned on until the re-direction command </w:t>
      </w:r>
      <w:r w:rsidR="008C1478">
        <w:rPr>
          <w:sz w:val="20"/>
        </w:rPr>
        <w:lastRenderedPageBreak/>
        <w:t xml:space="preserve">is received, thereby not impacting UE power consumption more than needed in a TN-NTN network. </w:t>
      </w:r>
      <w:r w:rsidR="002E67BB">
        <w:rPr>
          <w:sz w:val="20"/>
        </w:rPr>
        <w:t>It is also a more simple method of performing network</w:t>
      </w:r>
      <w:r>
        <w:rPr>
          <w:sz w:val="20"/>
        </w:rPr>
        <w:t xml:space="preserve">. </w:t>
      </w:r>
    </w:p>
    <w:p w14:paraId="4A756723" w14:textId="2D717E11" w:rsidR="00D83741" w:rsidRDefault="001A4BA9" w:rsidP="00AF4DB9">
      <w:pPr>
        <w:pStyle w:val="PatentBody"/>
        <w:numPr>
          <w:ilvl w:val="0"/>
          <w:numId w:val="0"/>
        </w:numPr>
        <w:spacing w:after="180" w:line="240" w:lineRule="auto"/>
        <w:jc w:val="both"/>
        <w:rPr>
          <w:sz w:val="20"/>
        </w:rPr>
      </w:pPr>
      <w:r>
        <w:rPr>
          <w:sz w:val="20"/>
        </w:rPr>
        <w:t xml:space="preserve">In release 19 as part of LTE TN to NR NTN mobility, release with re-direction is being discussed and as part of this work there have not been any conclusions regarding what is the expected UE behaviour when re-directed under certain scenarios.  It should also be noted that despite RAN2 not having discussed release with re-direction, RAN4 have specified requirements for NTN to NTN re-direction in Release 18. </w:t>
      </w:r>
    </w:p>
    <w:p w14:paraId="769619BD" w14:textId="7A3F26E0" w:rsidR="000F4303" w:rsidRDefault="001D5965" w:rsidP="00AF4DB9">
      <w:pPr>
        <w:pStyle w:val="PatentBody"/>
        <w:numPr>
          <w:ilvl w:val="0"/>
          <w:numId w:val="0"/>
        </w:numPr>
        <w:spacing w:after="180" w:line="240" w:lineRule="auto"/>
        <w:jc w:val="both"/>
        <w:rPr>
          <w:sz w:val="20"/>
        </w:rPr>
      </w:pPr>
      <w:r>
        <w:rPr>
          <w:sz w:val="20"/>
        </w:rPr>
        <w:t xml:space="preserve">So our first proposal is a high-level proposal to agree to support intra-RAT TN to NTN re-direction for NR and </w:t>
      </w:r>
      <w:r w:rsidR="002E67BB">
        <w:rPr>
          <w:sz w:val="20"/>
        </w:rPr>
        <w:t>E-UTRAN</w:t>
      </w:r>
      <w:r>
        <w:rPr>
          <w:sz w:val="20"/>
        </w:rPr>
        <w:t xml:space="preserve"> NTN. </w:t>
      </w:r>
    </w:p>
    <w:p w14:paraId="7A965AA1" w14:textId="2B3C75F9" w:rsidR="006966FD" w:rsidRDefault="001D5965" w:rsidP="001D5965">
      <w:pPr>
        <w:spacing w:after="60"/>
        <w:rPr>
          <w:b/>
        </w:rPr>
      </w:pPr>
      <w:r>
        <w:rPr>
          <w:b/>
        </w:rPr>
        <w:t xml:space="preserve">Proposal 1: </w:t>
      </w:r>
      <w:r w:rsidR="00A51543">
        <w:rPr>
          <w:b/>
        </w:rPr>
        <w:t xml:space="preserve">Support </w:t>
      </w:r>
      <w:r w:rsidR="006966FD">
        <w:rPr>
          <w:b/>
        </w:rPr>
        <w:t>re-direction to an</w:t>
      </w:r>
      <w:r w:rsidR="00A51543">
        <w:rPr>
          <w:b/>
        </w:rPr>
        <w:t xml:space="preserve"> NTN</w:t>
      </w:r>
      <w:r w:rsidR="006966FD">
        <w:rPr>
          <w:b/>
        </w:rPr>
        <w:t xml:space="preserve"> </w:t>
      </w:r>
      <w:r w:rsidR="00025061">
        <w:rPr>
          <w:b/>
        </w:rPr>
        <w:t>frequency</w:t>
      </w:r>
      <w:r w:rsidR="006966FD">
        <w:rPr>
          <w:b/>
        </w:rPr>
        <w:t xml:space="preserve">: </w:t>
      </w:r>
    </w:p>
    <w:p w14:paraId="104773AF" w14:textId="41715880" w:rsidR="006966FD" w:rsidRPr="006966FD" w:rsidRDefault="006966FD" w:rsidP="006966FD">
      <w:pPr>
        <w:pStyle w:val="ListParagraph"/>
        <w:numPr>
          <w:ilvl w:val="0"/>
          <w:numId w:val="12"/>
        </w:numPr>
        <w:spacing w:after="60"/>
        <w:rPr>
          <w:b/>
          <w:sz w:val="20"/>
        </w:rPr>
      </w:pPr>
      <w:r w:rsidRPr="006966FD">
        <w:rPr>
          <w:b/>
          <w:sz w:val="20"/>
        </w:rPr>
        <w:t xml:space="preserve">Re-direction from NR TN to </w:t>
      </w:r>
      <w:r w:rsidR="00A51543" w:rsidRPr="006966FD">
        <w:rPr>
          <w:b/>
          <w:sz w:val="20"/>
        </w:rPr>
        <w:t>NR NTN</w:t>
      </w:r>
    </w:p>
    <w:p w14:paraId="73C33FB2" w14:textId="4FB12D8D" w:rsidR="001D5965" w:rsidRPr="006966FD" w:rsidRDefault="006966FD" w:rsidP="006966FD">
      <w:pPr>
        <w:pStyle w:val="ListParagraph"/>
        <w:numPr>
          <w:ilvl w:val="0"/>
          <w:numId w:val="12"/>
        </w:numPr>
        <w:spacing w:after="60"/>
        <w:rPr>
          <w:b/>
          <w:sz w:val="20"/>
        </w:rPr>
      </w:pPr>
      <w:r w:rsidRPr="006966FD">
        <w:rPr>
          <w:b/>
          <w:sz w:val="20"/>
        </w:rPr>
        <w:t xml:space="preserve">Re-direction from </w:t>
      </w:r>
      <w:r>
        <w:rPr>
          <w:b/>
          <w:sz w:val="20"/>
        </w:rPr>
        <w:t>IoT</w:t>
      </w:r>
      <w:r w:rsidRPr="006966FD">
        <w:rPr>
          <w:b/>
          <w:sz w:val="20"/>
        </w:rPr>
        <w:t xml:space="preserve"> TN to IoT NTN</w:t>
      </w:r>
      <w:r w:rsidR="00A51543" w:rsidRPr="006966FD">
        <w:rPr>
          <w:b/>
          <w:sz w:val="20"/>
        </w:rPr>
        <w:t xml:space="preserve"> </w:t>
      </w:r>
      <w:r w:rsidR="001D5965" w:rsidRPr="006966FD">
        <w:rPr>
          <w:b/>
          <w:sz w:val="20"/>
        </w:rPr>
        <w:t xml:space="preserve">  </w:t>
      </w:r>
    </w:p>
    <w:p w14:paraId="73A01B61" w14:textId="77777777" w:rsidR="00C179DD" w:rsidRDefault="00C179DD" w:rsidP="00AF4DB9">
      <w:pPr>
        <w:pStyle w:val="PatentBody"/>
        <w:numPr>
          <w:ilvl w:val="0"/>
          <w:numId w:val="0"/>
        </w:numPr>
        <w:spacing w:after="180" w:line="240" w:lineRule="auto"/>
        <w:jc w:val="both"/>
        <w:rPr>
          <w:sz w:val="20"/>
        </w:rPr>
      </w:pPr>
    </w:p>
    <w:p w14:paraId="66716779" w14:textId="0C9CBA34" w:rsidR="000F4303" w:rsidRDefault="002E67BB" w:rsidP="00AF4DB9">
      <w:pPr>
        <w:pStyle w:val="PatentBody"/>
        <w:numPr>
          <w:ilvl w:val="0"/>
          <w:numId w:val="0"/>
        </w:numPr>
        <w:spacing w:after="180" w:line="240" w:lineRule="auto"/>
        <w:jc w:val="both"/>
        <w:rPr>
          <w:sz w:val="20"/>
        </w:rPr>
      </w:pPr>
      <w:r>
        <w:rPr>
          <w:sz w:val="20"/>
        </w:rPr>
        <w:t xml:space="preserve">In order to support release with re-direction, there are a number of issues to resolve: </w:t>
      </w:r>
    </w:p>
    <w:p w14:paraId="49C3F232" w14:textId="1B779C81" w:rsidR="00F2394B" w:rsidRPr="00002534" w:rsidRDefault="00F2394B" w:rsidP="00F2394B">
      <w:pPr>
        <w:rPr>
          <w:b/>
          <w:lang w:val="en-GB" w:eastAsia="en-US"/>
        </w:rPr>
      </w:pPr>
      <w:r>
        <w:rPr>
          <w:b/>
          <w:lang w:val="en-GB" w:eastAsia="en-US"/>
        </w:rPr>
        <w:t>Issue 1 – Lack of band indication</w:t>
      </w:r>
      <w:r w:rsidRPr="00002534">
        <w:rPr>
          <w:b/>
          <w:lang w:val="en-GB" w:eastAsia="en-US"/>
        </w:rPr>
        <w:t xml:space="preserve">: </w:t>
      </w:r>
    </w:p>
    <w:p w14:paraId="3CEFA828" w14:textId="6845BA9B" w:rsidR="00F2394B" w:rsidRDefault="00F2394B" w:rsidP="00F2394B">
      <w:pPr>
        <w:rPr>
          <w:lang w:val="en-GB" w:eastAsia="en-US"/>
        </w:rPr>
      </w:pPr>
      <w:r>
        <w:rPr>
          <w:lang w:val="en-GB" w:eastAsia="en-US"/>
        </w:rPr>
        <w:t xml:space="preserve">When a UE in non-terrestrial network receives an RRC Release or RRC Connection Release message to re-direct a UE, there is only an ARFCN (and NTN and TN have overlapping frequencies) provided, which does not indicate the band. This means that, the UE would have to assume that the band is an NTN band. Similarly, if a UE in a terrestrial network receives an RRC Release message to re-direct a UE, the UE would similarly have to assume that the band is a terrestrial band. If the UE does not know that the band is NTN and the UE only searches for TN cells, then it is not unlikely that UE will be unable to find any NTN cells. </w:t>
      </w:r>
    </w:p>
    <w:p w14:paraId="7071D809" w14:textId="2DE779BB" w:rsidR="00F2394B" w:rsidRPr="00002534" w:rsidRDefault="00354A45" w:rsidP="00F2394B">
      <w:pPr>
        <w:rPr>
          <w:b/>
          <w:lang w:val="en-GB" w:eastAsia="en-US"/>
        </w:rPr>
      </w:pPr>
      <w:r>
        <w:rPr>
          <w:b/>
          <w:lang w:val="en-GB" w:eastAsia="en-US"/>
        </w:rPr>
        <w:t>Issue 2</w:t>
      </w:r>
      <w:r w:rsidR="00F2394B">
        <w:rPr>
          <w:b/>
          <w:lang w:val="en-GB" w:eastAsia="en-US"/>
        </w:rPr>
        <w:t xml:space="preserve"> – Lack of assistance information</w:t>
      </w:r>
      <w:r w:rsidR="00F2394B" w:rsidRPr="00002534">
        <w:rPr>
          <w:b/>
          <w:lang w:val="en-GB" w:eastAsia="en-US"/>
        </w:rPr>
        <w:t xml:space="preserve">: </w:t>
      </w:r>
    </w:p>
    <w:p w14:paraId="5A79C02A" w14:textId="31AACE1E" w:rsidR="00F2394B" w:rsidRDefault="00F2394B" w:rsidP="00F2394B">
      <w:pPr>
        <w:rPr>
          <w:lang w:val="en-GB" w:eastAsia="en-US"/>
        </w:rPr>
      </w:pPr>
      <w:r>
        <w:rPr>
          <w:lang w:val="en-GB" w:eastAsia="en-US"/>
        </w:rPr>
        <w:t>The re-direction</w:t>
      </w:r>
      <w:r w:rsidR="00354A45">
        <w:rPr>
          <w:lang w:val="en-GB" w:eastAsia="en-US"/>
        </w:rPr>
        <w:t xml:space="preserve"> to an NTN using the current </w:t>
      </w:r>
      <w:r w:rsidR="006966FD">
        <w:rPr>
          <w:lang w:val="en-GB" w:eastAsia="en-US"/>
        </w:rPr>
        <w:t>signalling</w:t>
      </w:r>
      <w:r>
        <w:rPr>
          <w:lang w:val="en-GB" w:eastAsia="en-US"/>
        </w:rPr>
        <w:t xml:space="preserve"> is likely to be inefficient, as there is currently no support for providing any </w:t>
      </w:r>
      <w:r w:rsidR="00354A45">
        <w:rPr>
          <w:lang w:val="en-GB" w:eastAsia="en-US"/>
        </w:rPr>
        <w:t xml:space="preserve">ephemeris information. </w:t>
      </w:r>
      <w:r>
        <w:rPr>
          <w:lang w:val="en-GB" w:eastAsia="en-US"/>
        </w:rPr>
        <w:t xml:space="preserve">The current assistance information for instance includes the SCS of the SSBs as well as SMTC configuration. These are not fully necessary for cell selection but provides faster detection of the cells. Providing the satellite ephemeris would be an enhancement that is arguably more useful than these information elements.  </w:t>
      </w:r>
    </w:p>
    <w:p w14:paraId="04A03D57" w14:textId="5412208C" w:rsidR="00837897" w:rsidRPr="00002534" w:rsidRDefault="00837897" w:rsidP="00837897">
      <w:pPr>
        <w:rPr>
          <w:b/>
          <w:lang w:val="en-GB" w:eastAsia="en-US"/>
        </w:rPr>
      </w:pPr>
      <w:r>
        <w:rPr>
          <w:b/>
          <w:lang w:val="en-GB" w:eastAsia="en-US"/>
        </w:rPr>
        <w:t>Issue 3 – Capabilities</w:t>
      </w:r>
      <w:r w:rsidRPr="00002534">
        <w:rPr>
          <w:b/>
          <w:lang w:val="en-GB" w:eastAsia="en-US"/>
        </w:rPr>
        <w:t xml:space="preserve">: </w:t>
      </w:r>
    </w:p>
    <w:p w14:paraId="3C9B5B2B" w14:textId="7302137A" w:rsidR="00837897" w:rsidRDefault="00837897" w:rsidP="00F2394B">
      <w:pPr>
        <w:rPr>
          <w:lang w:val="en-GB" w:eastAsia="en-US"/>
        </w:rPr>
      </w:pPr>
      <w:r>
        <w:rPr>
          <w:lang w:val="en-GB" w:eastAsia="en-US"/>
        </w:rPr>
        <w:t xml:space="preserve">For NR NTN, it is fairly easy to indicate that the UE supports TN to NTN redirection. This can be introduced as a single bit, which indicates that the UE supports to be re-directed from a terrestrial network to a non-terrestrial network to the NTN bands that the UE has indicated. </w:t>
      </w:r>
    </w:p>
    <w:p w14:paraId="3AE1666F" w14:textId="1ADB1A6A" w:rsidR="00025061" w:rsidRDefault="00837897" w:rsidP="00F2394B">
      <w:pPr>
        <w:rPr>
          <w:lang w:val="en-GB" w:eastAsia="en-US"/>
        </w:rPr>
      </w:pPr>
      <w:r>
        <w:rPr>
          <w:lang w:val="en-GB" w:eastAsia="en-US"/>
        </w:rPr>
        <w:t xml:space="preserve">For IoT NTN, it is somewhat </w:t>
      </w:r>
      <w:r w:rsidR="006966FD">
        <w:rPr>
          <w:lang w:val="en-GB" w:eastAsia="en-US"/>
        </w:rPr>
        <w:t xml:space="preserve">challenging </w:t>
      </w:r>
      <w:r>
        <w:rPr>
          <w:lang w:val="en-GB" w:eastAsia="en-US"/>
        </w:rPr>
        <w:t xml:space="preserve">owing to how </w:t>
      </w:r>
      <w:r w:rsidR="006966FD">
        <w:rPr>
          <w:lang w:val="en-GB" w:eastAsia="en-US"/>
        </w:rPr>
        <w:t xml:space="preserve">NTN </w:t>
      </w:r>
      <w:r>
        <w:rPr>
          <w:lang w:val="en-GB" w:eastAsia="en-US"/>
        </w:rPr>
        <w:t>capabilities were introduced. In IoT NTN, the UE cannot indicate its NTN-capabilities in a terrestrial network. The UE changes its capabilities depending on whether it is connected to NTN or TN. This was</w:t>
      </w:r>
      <w:r w:rsidR="00DD127E">
        <w:rPr>
          <w:lang w:val="en-GB" w:eastAsia="en-US"/>
        </w:rPr>
        <w:t xml:space="preserve"> a decision was made because many terrestrial features may not have been tested for non-terrestrial ba</w:t>
      </w:r>
      <w:bookmarkStart w:id="0" w:name="_GoBack"/>
      <w:bookmarkEnd w:id="0"/>
      <w:r w:rsidR="00DD127E">
        <w:rPr>
          <w:lang w:val="en-GB" w:eastAsia="en-US"/>
        </w:rPr>
        <w:t xml:space="preserve">nds, which would have required the LTE capabilities to be re-designed. In the case of re-direction from TN to NTN, the network does not need to know the details of the NTN capabilities. The network would only need to know the specific NTN bands that the UE support, which would be sufficient for re-direction. </w:t>
      </w:r>
    </w:p>
    <w:p w14:paraId="7679064A" w14:textId="4047838B" w:rsidR="00025061" w:rsidRDefault="00025061" w:rsidP="00F2394B">
      <w:pPr>
        <w:rPr>
          <w:lang w:val="en-GB" w:eastAsia="en-US"/>
        </w:rPr>
      </w:pPr>
      <w:r>
        <w:rPr>
          <w:lang w:val="en-GB" w:eastAsia="en-US"/>
        </w:rPr>
        <w:t xml:space="preserve">We think that all of these issues can be resolved by a set of minor enhancements. For instance for providing ephemeris information, this can be done by providing an ephemeris element in the RRC Release message. For IoT TN, either the ephemeris element or the satellite ID can be provided. Optionally, if ephemeris is not provided, the release message would have to include an indicator that the frequency is part of an NTN band. </w:t>
      </w:r>
    </w:p>
    <w:p w14:paraId="54FFFA99" w14:textId="29D1AA0D" w:rsidR="00DD127E" w:rsidRPr="00813531" w:rsidRDefault="00DD127E" w:rsidP="00813531">
      <w:pPr>
        <w:spacing w:after="60"/>
        <w:rPr>
          <w:b/>
        </w:rPr>
      </w:pPr>
      <w:r>
        <w:rPr>
          <w:b/>
        </w:rPr>
        <w:t xml:space="preserve">Proposal </w:t>
      </w:r>
      <w:r w:rsidR="00025061">
        <w:rPr>
          <w:b/>
        </w:rPr>
        <w:t>2</w:t>
      </w:r>
      <w:r>
        <w:rPr>
          <w:b/>
        </w:rPr>
        <w:t xml:space="preserve">: </w:t>
      </w:r>
      <w:r w:rsidR="00025061">
        <w:rPr>
          <w:b/>
        </w:rPr>
        <w:t>Enhance re-direction to</w:t>
      </w:r>
      <w:r w:rsidR="00813531">
        <w:rPr>
          <w:b/>
        </w:rPr>
        <w:t xml:space="preserve"> NR</w:t>
      </w:r>
      <w:r w:rsidR="00025061">
        <w:rPr>
          <w:b/>
        </w:rPr>
        <w:t xml:space="preserve"> NTN frequency with ephemeris.</w:t>
      </w:r>
      <w:r w:rsidR="00813531">
        <w:rPr>
          <w:b/>
        </w:rPr>
        <w:t xml:space="preserve"> If ephemeris is not provided in the release message, NTN band indication is included. </w:t>
      </w:r>
      <w:r w:rsidR="00025061">
        <w:rPr>
          <w:b/>
        </w:rPr>
        <w:t xml:space="preserve">  </w:t>
      </w:r>
      <w:r w:rsidRPr="00025061">
        <w:rPr>
          <w:b/>
        </w:rPr>
        <w:t xml:space="preserve">   </w:t>
      </w:r>
    </w:p>
    <w:p w14:paraId="3C067641" w14:textId="149DE202" w:rsidR="00025061" w:rsidRPr="00025061" w:rsidRDefault="00025061" w:rsidP="00025061">
      <w:pPr>
        <w:spacing w:after="60"/>
        <w:rPr>
          <w:b/>
        </w:rPr>
      </w:pPr>
      <w:r>
        <w:rPr>
          <w:b/>
        </w:rPr>
        <w:t xml:space="preserve">Proposal </w:t>
      </w:r>
      <w:r w:rsidR="00813531">
        <w:rPr>
          <w:b/>
        </w:rPr>
        <w:t>3</w:t>
      </w:r>
      <w:r>
        <w:rPr>
          <w:b/>
        </w:rPr>
        <w:t xml:space="preserve">: Enhance re-direction to </w:t>
      </w:r>
      <w:r w:rsidR="00813531">
        <w:rPr>
          <w:b/>
        </w:rPr>
        <w:t xml:space="preserve">IoT </w:t>
      </w:r>
      <w:r>
        <w:rPr>
          <w:b/>
        </w:rPr>
        <w:t xml:space="preserve">NTN frequency with ephemeris </w:t>
      </w:r>
      <w:r w:rsidR="00813531">
        <w:rPr>
          <w:b/>
        </w:rPr>
        <w:t xml:space="preserve">or satellite ID. If ephemeris is not provided in the release message, NTN band indication is included.   </w:t>
      </w:r>
      <w:r w:rsidR="00813531" w:rsidRPr="00025061">
        <w:rPr>
          <w:b/>
        </w:rPr>
        <w:t xml:space="preserve">   </w:t>
      </w:r>
    </w:p>
    <w:p w14:paraId="780BDF13" w14:textId="7AC45F45" w:rsidR="00484EDB" w:rsidRDefault="00484EDB" w:rsidP="00813531">
      <w:pPr>
        <w:pStyle w:val="PatentBody"/>
        <w:numPr>
          <w:ilvl w:val="0"/>
          <w:numId w:val="0"/>
        </w:numPr>
        <w:spacing w:after="180" w:line="240" w:lineRule="auto"/>
        <w:rPr>
          <w:sz w:val="20"/>
        </w:rPr>
      </w:pPr>
    </w:p>
    <w:p w14:paraId="5A87D5D9" w14:textId="7CF19939" w:rsidR="00A95801" w:rsidRDefault="00A95801" w:rsidP="00813531">
      <w:pPr>
        <w:pStyle w:val="PatentBody"/>
        <w:numPr>
          <w:ilvl w:val="0"/>
          <w:numId w:val="0"/>
        </w:numPr>
        <w:spacing w:after="180" w:line="240" w:lineRule="auto"/>
        <w:rPr>
          <w:sz w:val="20"/>
        </w:rPr>
      </w:pPr>
      <w:r>
        <w:rPr>
          <w:sz w:val="20"/>
        </w:rPr>
        <w:t xml:space="preserve">For capabilities we propose that a single capability is introduced for NR NTN, which indicates that the UE supports to be re-directed to any of the NTN bands that the UE support. One option would be that the UE indicates </w:t>
      </w:r>
      <w:r w:rsidR="00E06E25">
        <w:rPr>
          <w:sz w:val="20"/>
        </w:rPr>
        <w:t xml:space="preserve">the supported NTN bands in a terrestrial band, but we think that RAN2 may discuss different options. </w:t>
      </w:r>
    </w:p>
    <w:p w14:paraId="236C307A" w14:textId="78109BF0" w:rsidR="00AC54A2" w:rsidRDefault="00F96A04" w:rsidP="00AC54A2">
      <w:pPr>
        <w:spacing w:after="60"/>
        <w:rPr>
          <w:b/>
        </w:rPr>
      </w:pPr>
      <w:r>
        <w:rPr>
          <w:b/>
        </w:rPr>
        <w:t xml:space="preserve">Proposal </w:t>
      </w:r>
      <w:r w:rsidR="00813531">
        <w:rPr>
          <w:b/>
        </w:rPr>
        <w:t>4</w:t>
      </w:r>
      <w:r w:rsidR="00AC54A2">
        <w:rPr>
          <w:b/>
        </w:rPr>
        <w:t xml:space="preserve">: </w:t>
      </w:r>
      <w:r w:rsidR="00813531">
        <w:rPr>
          <w:b/>
        </w:rPr>
        <w:t>A new capability indicating re-direction from TN to NTN</w:t>
      </w:r>
      <w:r w:rsidR="00A95801">
        <w:rPr>
          <w:b/>
        </w:rPr>
        <w:t xml:space="preserve"> band</w:t>
      </w:r>
      <w:r w:rsidR="00813531">
        <w:rPr>
          <w:b/>
        </w:rPr>
        <w:t xml:space="preserve"> is introduced for NR NTN</w:t>
      </w:r>
      <w:r w:rsidR="00AC54A2">
        <w:rPr>
          <w:b/>
        </w:rPr>
        <w:t xml:space="preserve">.  </w:t>
      </w:r>
    </w:p>
    <w:p w14:paraId="1DD76A49" w14:textId="4ECC6190" w:rsidR="00813531" w:rsidRDefault="00813531" w:rsidP="00813531">
      <w:pPr>
        <w:spacing w:after="60"/>
        <w:rPr>
          <w:b/>
        </w:rPr>
      </w:pPr>
      <w:r>
        <w:rPr>
          <w:b/>
        </w:rPr>
        <w:t xml:space="preserve">Proposal 5: RAN2 to discuss how to indicate re-direction capabilities for IoT NTN.  </w:t>
      </w:r>
    </w:p>
    <w:p w14:paraId="412D7A71" w14:textId="2A9394E8" w:rsidR="005C7C73" w:rsidRDefault="005C7C73"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4C1F0C16"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t>
      </w:r>
      <w:r w:rsidR="00D83741">
        <w:rPr>
          <w:lang w:eastAsia="ko-KR"/>
        </w:rPr>
        <w:t xml:space="preserve">we discuss proposals related to Release </w:t>
      </w:r>
      <w:r w:rsidR="00C974D8">
        <w:rPr>
          <w:lang w:eastAsia="ko-KR"/>
        </w:rPr>
        <w:t>with re-direction to an NTN frequency</w:t>
      </w:r>
      <w:r w:rsidR="008C2BBB">
        <w:rPr>
          <w:lang w:eastAsia="ko-KR"/>
        </w:rPr>
        <w:t>:</w:t>
      </w:r>
    </w:p>
    <w:p w14:paraId="757E0B95" w14:textId="77777777" w:rsidR="00C96C7B" w:rsidRPr="00813531" w:rsidRDefault="00C96C7B" w:rsidP="00C96C7B">
      <w:pPr>
        <w:spacing w:after="60"/>
        <w:rPr>
          <w:b/>
        </w:rPr>
      </w:pPr>
      <w:r>
        <w:rPr>
          <w:b/>
        </w:rPr>
        <w:t xml:space="preserve">Observation 1: A lot of effort have been put in mobility enhancements for NTN, but TN to NTN mobility is still not fully supported.   </w:t>
      </w:r>
      <w:r w:rsidRPr="00025061">
        <w:rPr>
          <w:b/>
        </w:rPr>
        <w:t xml:space="preserve">   </w:t>
      </w:r>
    </w:p>
    <w:p w14:paraId="00E75678" w14:textId="77777777" w:rsidR="004836AE" w:rsidRDefault="004836AE" w:rsidP="00FA3474">
      <w:pPr>
        <w:rPr>
          <w:lang w:eastAsia="ko-KR"/>
        </w:rPr>
      </w:pPr>
    </w:p>
    <w:p w14:paraId="235CA818" w14:textId="77777777" w:rsidR="00C96C7B" w:rsidRDefault="00C96C7B" w:rsidP="00C96C7B">
      <w:pPr>
        <w:spacing w:after="120"/>
        <w:rPr>
          <w:b/>
        </w:rPr>
      </w:pPr>
      <w:r>
        <w:rPr>
          <w:b/>
        </w:rPr>
        <w:t xml:space="preserve">Proposal 1: Support re-direction to an NTN frequency: </w:t>
      </w:r>
    </w:p>
    <w:p w14:paraId="34A9789C" w14:textId="77777777" w:rsidR="00C96C7B" w:rsidRPr="006966FD" w:rsidRDefault="00C96C7B" w:rsidP="00C96C7B">
      <w:pPr>
        <w:pStyle w:val="ListParagraph"/>
        <w:numPr>
          <w:ilvl w:val="0"/>
          <w:numId w:val="12"/>
        </w:numPr>
        <w:spacing w:after="120"/>
        <w:rPr>
          <w:b/>
          <w:sz w:val="20"/>
        </w:rPr>
      </w:pPr>
      <w:r w:rsidRPr="006966FD">
        <w:rPr>
          <w:b/>
          <w:sz w:val="20"/>
        </w:rPr>
        <w:t>Re-direction from NR TN to NR NTN</w:t>
      </w:r>
    </w:p>
    <w:p w14:paraId="6484D4FB" w14:textId="77777777" w:rsidR="00C96C7B" w:rsidRPr="006966FD" w:rsidRDefault="00C96C7B" w:rsidP="00C96C7B">
      <w:pPr>
        <w:pStyle w:val="ListParagraph"/>
        <w:numPr>
          <w:ilvl w:val="0"/>
          <w:numId w:val="12"/>
        </w:numPr>
        <w:spacing w:after="120"/>
        <w:rPr>
          <w:b/>
          <w:sz w:val="20"/>
        </w:rPr>
      </w:pPr>
      <w:r w:rsidRPr="006966FD">
        <w:rPr>
          <w:b/>
          <w:sz w:val="20"/>
        </w:rPr>
        <w:t xml:space="preserve">Re-direction from </w:t>
      </w:r>
      <w:r>
        <w:rPr>
          <w:b/>
          <w:sz w:val="20"/>
        </w:rPr>
        <w:t>IoT</w:t>
      </w:r>
      <w:r w:rsidRPr="006966FD">
        <w:rPr>
          <w:b/>
          <w:sz w:val="20"/>
        </w:rPr>
        <w:t xml:space="preserve"> TN to IoT NTN   </w:t>
      </w:r>
    </w:p>
    <w:p w14:paraId="17FB2C65" w14:textId="77777777" w:rsidR="00C96C7B" w:rsidRPr="00813531" w:rsidRDefault="00C96C7B" w:rsidP="00C96C7B">
      <w:pPr>
        <w:spacing w:after="120"/>
        <w:rPr>
          <w:b/>
        </w:rPr>
      </w:pPr>
      <w:r>
        <w:rPr>
          <w:b/>
        </w:rPr>
        <w:t xml:space="preserve">Proposal 2: Enhance re-direction to NR NTN frequency with ephemeris. If ephemeris is not provided in the release message, NTN band indication is included.   </w:t>
      </w:r>
      <w:r w:rsidRPr="00025061">
        <w:rPr>
          <w:b/>
        </w:rPr>
        <w:t xml:space="preserve">   </w:t>
      </w:r>
    </w:p>
    <w:p w14:paraId="72FE11BB" w14:textId="1D53CAEE" w:rsidR="00C96C7B" w:rsidRDefault="00C96C7B" w:rsidP="00C96C7B">
      <w:pPr>
        <w:spacing w:after="120"/>
        <w:rPr>
          <w:b/>
        </w:rPr>
      </w:pPr>
      <w:r>
        <w:rPr>
          <w:b/>
        </w:rPr>
        <w:t xml:space="preserve">Proposal 3: Enhance re-direction to IoT NTN frequency with ephemeris or satellite ID. If ephemeris is not provided in the release message, NTN band indication is included.   </w:t>
      </w:r>
      <w:r w:rsidRPr="00025061">
        <w:rPr>
          <w:b/>
        </w:rPr>
        <w:t xml:space="preserve">   </w:t>
      </w:r>
    </w:p>
    <w:p w14:paraId="15312BAC" w14:textId="77777777" w:rsidR="00C96C7B" w:rsidRDefault="00C96C7B" w:rsidP="00C96C7B">
      <w:pPr>
        <w:spacing w:after="120"/>
        <w:rPr>
          <w:b/>
        </w:rPr>
      </w:pPr>
      <w:r>
        <w:rPr>
          <w:b/>
        </w:rPr>
        <w:t xml:space="preserve">Proposal 4: A new capability indicating re-direction from TN to NTN band is introduced for NR NTN.  </w:t>
      </w:r>
    </w:p>
    <w:p w14:paraId="1A65215B" w14:textId="77777777" w:rsidR="00C96C7B" w:rsidRDefault="00C96C7B" w:rsidP="00C96C7B">
      <w:pPr>
        <w:spacing w:after="120"/>
        <w:rPr>
          <w:b/>
        </w:rPr>
      </w:pPr>
      <w:r>
        <w:rPr>
          <w:b/>
        </w:rPr>
        <w:t xml:space="preserve">Proposal 5: RAN2 to discuss how to indicate re-direction capabilities for IoT NTN.  </w:t>
      </w:r>
    </w:p>
    <w:p w14:paraId="40BED1AC" w14:textId="02B81AB0" w:rsidR="006924B9" w:rsidRDefault="006924B9"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38D10E74" w14:textId="77777777" w:rsidR="004E2926" w:rsidRPr="003D7E84" w:rsidRDefault="004E2926" w:rsidP="004E2926">
      <w:pPr>
        <w:pStyle w:val="references"/>
        <w:spacing w:after="180" w:line="240" w:lineRule="auto"/>
        <w:rPr>
          <w:szCs w:val="20"/>
        </w:rPr>
      </w:pPr>
      <w:r>
        <w:rPr>
          <w:rFonts w:ascii="Arial" w:hAnsi="Arial" w:cs="Arial"/>
          <w:szCs w:val="20"/>
        </w:rPr>
        <w:t>RP-242397, Revised WID on Non-Terrestrial Networks (NTN) for Internet of Things (IoT) Phase 3, Mediatek, RAN#105, Melbourne, Australia, September 2024.</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E676A"/>
    <w:multiLevelType w:val="hybridMultilevel"/>
    <w:tmpl w:val="3A02D3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9483787"/>
    <w:multiLevelType w:val="hybridMultilevel"/>
    <w:tmpl w:val="1F9291CA"/>
    <w:lvl w:ilvl="0" w:tplc="E940DA52">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8631B2"/>
    <w:multiLevelType w:val="hybridMultilevel"/>
    <w:tmpl w:val="BD587344"/>
    <w:lvl w:ilvl="0" w:tplc="EF98341E">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2"/>
  </w:num>
  <w:num w:numId="5">
    <w:abstractNumId w:val="10"/>
  </w:num>
  <w:num w:numId="6">
    <w:abstractNumId w:val="9"/>
  </w:num>
  <w:num w:numId="7">
    <w:abstractNumId w:val="0"/>
  </w:num>
  <w:num w:numId="8">
    <w:abstractNumId w:val="11"/>
  </w:num>
  <w:num w:numId="9">
    <w:abstractNumId w:val="6"/>
  </w:num>
  <w:num w:numId="10">
    <w:abstractNumId w:val="1"/>
  </w:num>
  <w:num w:numId="11">
    <w:abstractNumId w:val="4"/>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4E5"/>
    <w:rsid w:val="00023C40"/>
    <w:rsid w:val="00025061"/>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1226"/>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F3D49"/>
    <w:rsid w:val="000F4303"/>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4B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D5F"/>
    <w:rsid w:val="001D5965"/>
    <w:rsid w:val="001D6647"/>
    <w:rsid w:val="001E2E76"/>
    <w:rsid w:val="001E2FCC"/>
    <w:rsid w:val="001E3AC4"/>
    <w:rsid w:val="001E44A9"/>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67BB"/>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A45"/>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0EBC"/>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997"/>
    <w:rsid w:val="00421DF5"/>
    <w:rsid w:val="00422669"/>
    <w:rsid w:val="0042280C"/>
    <w:rsid w:val="00427B92"/>
    <w:rsid w:val="00427D3B"/>
    <w:rsid w:val="00431669"/>
    <w:rsid w:val="004319FD"/>
    <w:rsid w:val="0043208C"/>
    <w:rsid w:val="004322B3"/>
    <w:rsid w:val="00432BC9"/>
    <w:rsid w:val="00432BE2"/>
    <w:rsid w:val="00432F4A"/>
    <w:rsid w:val="00434571"/>
    <w:rsid w:val="00437CA2"/>
    <w:rsid w:val="00441FD9"/>
    <w:rsid w:val="00442328"/>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A23"/>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71"/>
    <w:rsid w:val="00547C85"/>
    <w:rsid w:val="0055000F"/>
    <w:rsid w:val="00551763"/>
    <w:rsid w:val="00551A14"/>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7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08A8"/>
    <w:rsid w:val="005D1091"/>
    <w:rsid w:val="005D2171"/>
    <w:rsid w:val="005D2C61"/>
    <w:rsid w:val="005D2ED5"/>
    <w:rsid w:val="005D3AC8"/>
    <w:rsid w:val="005D4207"/>
    <w:rsid w:val="005D5825"/>
    <w:rsid w:val="005D6E49"/>
    <w:rsid w:val="005D725F"/>
    <w:rsid w:val="005E15B1"/>
    <w:rsid w:val="005E28FB"/>
    <w:rsid w:val="005F0D6D"/>
    <w:rsid w:val="005F0FB1"/>
    <w:rsid w:val="005F2403"/>
    <w:rsid w:val="005F2F16"/>
    <w:rsid w:val="005F7580"/>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05E9"/>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24B9"/>
    <w:rsid w:val="00694E95"/>
    <w:rsid w:val="00694F59"/>
    <w:rsid w:val="00695261"/>
    <w:rsid w:val="006966FD"/>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72"/>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0034"/>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3531"/>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97"/>
    <w:rsid w:val="008378CB"/>
    <w:rsid w:val="00837E8F"/>
    <w:rsid w:val="0084067A"/>
    <w:rsid w:val="00840DE0"/>
    <w:rsid w:val="00842FBC"/>
    <w:rsid w:val="0084361B"/>
    <w:rsid w:val="00844CDD"/>
    <w:rsid w:val="00845D11"/>
    <w:rsid w:val="0084774D"/>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115B"/>
    <w:rsid w:val="008A2511"/>
    <w:rsid w:val="008A2ABD"/>
    <w:rsid w:val="008A331F"/>
    <w:rsid w:val="008B3C42"/>
    <w:rsid w:val="008B5306"/>
    <w:rsid w:val="008B63C9"/>
    <w:rsid w:val="008B74AF"/>
    <w:rsid w:val="008C1478"/>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450D"/>
    <w:rsid w:val="0092601D"/>
    <w:rsid w:val="0092610E"/>
    <w:rsid w:val="00930775"/>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543"/>
    <w:rsid w:val="00A51F2B"/>
    <w:rsid w:val="00A53724"/>
    <w:rsid w:val="00A54B2B"/>
    <w:rsid w:val="00A607F6"/>
    <w:rsid w:val="00A60806"/>
    <w:rsid w:val="00A60EB0"/>
    <w:rsid w:val="00A6319E"/>
    <w:rsid w:val="00A6351A"/>
    <w:rsid w:val="00A64AFF"/>
    <w:rsid w:val="00A65112"/>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801"/>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B6455"/>
    <w:rsid w:val="00AC4D2C"/>
    <w:rsid w:val="00AC507F"/>
    <w:rsid w:val="00AC54A2"/>
    <w:rsid w:val="00AC5D59"/>
    <w:rsid w:val="00AC6887"/>
    <w:rsid w:val="00AC6E95"/>
    <w:rsid w:val="00AD3082"/>
    <w:rsid w:val="00AD6A7F"/>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63F3"/>
    <w:rsid w:val="00B873FD"/>
    <w:rsid w:val="00B964C2"/>
    <w:rsid w:val="00B965D1"/>
    <w:rsid w:val="00BA0097"/>
    <w:rsid w:val="00BA18CB"/>
    <w:rsid w:val="00BA1A49"/>
    <w:rsid w:val="00BA2421"/>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1D6"/>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179DD"/>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AC3"/>
    <w:rsid w:val="00C91F36"/>
    <w:rsid w:val="00C92831"/>
    <w:rsid w:val="00C92967"/>
    <w:rsid w:val="00C94794"/>
    <w:rsid w:val="00C965A1"/>
    <w:rsid w:val="00C96C7B"/>
    <w:rsid w:val="00C97169"/>
    <w:rsid w:val="00C974D8"/>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CD1"/>
    <w:rsid w:val="00D7022F"/>
    <w:rsid w:val="00D727AF"/>
    <w:rsid w:val="00D727BD"/>
    <w:rsid w:val="00D72C64"/>
    <w:rsid w:val="00D738D6"/>
    <w:rsid w:val="00D76588"/>
    <w:rsid w:val="00D76809"/>
    <w:rsid w:val="00D7685B"/>
    <w:rsid w:val="00D80795"/>
    <w:rsid w:val="00D81114"/>
    <w:rsid w:val="00D83741"/>
    <w:rsid w:val="00D843A6"/>
    <w:rsid w:val="00D854BE"/>
    <w:rsid w:val="00D87009"/>
    <w:rsid w:val="00D87E00"/>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27E"/>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218F"/>
    <w:rsid w:val="00DF3CF4"/>
    <w:rsid w:val="00DF4645"/>
    <w:rsid w:val="00DF478D"/>
    <w:rsid w:val="00DF6554"/>
    <w:rsid w:val="00DF6C1E"/>
    <w:rsid w:val="00DF7834"/>
    <w:rsid w:val="00E00D16"/>
    <w:rsid w:val="00E02228"/>
    <w:rsid w:val="00E0267E"/>
    <w:rsid w:val="00E053D4"/>
    <w:rsid w:val="00E05880"/>
    <w:rsid w:val="00E06E25"/>
    <w:rsid w:val="00E06E29"/>
    <w:rsid w:val="00E107C1"/>
    <w:rsid w:val="00E1255A"/>
    <w:rsid w:val="00E131B9"/>
    <w:rsid w:val="00E147E9"/>
    <w:rsid w:val="00E14C25"/>
    <w:rsid w:val="00E1589E"/>
    <w:rsid w:val="00E1594D"/>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94B"/>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A52BF-AD82-441E-B88C-5AA51E6A1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2025-01-09T15:54:00Z</dcterms:created>
  <dcterms:modified xsi:type="dcterms:W3CDTF">2025-02-07T08:45:00Z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